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3C8" w14:textId="77777777" w:rsidR="00BF2EE3" w:rsidRPr="00861504" w:rsidRDefault="00FF5621">
      <w:pPr>
        <w:rPr>
          <w:rFonts w:ascii="Arial" w:hAnsi="Arial" w:cs="Arial"/>
          <w:b/>
          <w:sz w:val="22"/>
          <w:szCs w:val="22"/>
        </w:rPr>
      </w:pPr>
      <w:r w:rsidRPr="0086150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6150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E576A" w:rsidRPr="00861504">
        <w:rPr>
          <w:rFonts w:ascii="Arial" w:hAnsi="Arial" w:cs="Arial"/>
          <w:b/>
          <w:sz w:val="22"/>
          <w:szCs w:val="22"/>
        </w:rPr>
        <w:fldChar w:fldCharType="separate"/>
      </w:r>
      <w:r w:rsidR="008E576A" w:rsidRPr="00861504">
        <w:rPr>
          <w:rFonts w:ascii="Arial" w:hAnsi="Arial" w:cs="Arial"/>
          <w:b/>
          <w:sz w:val="22"/>
          <w:szCs w:val="22"/>
        </w:rPr>
        <w:t>БДР 7. Расходы по прочей деятельности</w:t>
      </w:r>
      <w:r w:rsidRPr="00861504">
        <w:rPr>
          <w:rFonts w:ascii="Arial" w:hAnsi="Arial" w:cs="Arial"/>
          <w:b/>
          <w:sz w:val="22"/>
          <w:szCs w:val="22"/>
        </w:rPr>
        <w:fldChar w:fldCharType="end"/>
      </w:r>
    </w:p>
    <w:p w14:paraId="3FF4E2DE" w14:textId="77777777" w:rsidR="00BF2EE3" w:rsidRPr="0086150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61504" w14:paraId="2EAF9D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0B035DE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150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30F57FE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1504">
              <w:rPr>
                <w:rFonts w:ascii="Arial" w:hAnsi="Arial" w:cs="Arial"/>
                <w:sz w:val="18"/>
              </w:rPr>
              <w:t>БДР 7. Расходы по прочей деятельности</w:t>
            </w:r>
          </w:p>
        </w:tc>
      </w:tr>
      <w:tr w:rsidR="000F7FEF" w:rsidRPr="00861504" w14:paraId="6B2541A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27721B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1504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5E512C81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1504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861504" w14:paraId="0AD78F2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F53A57E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1504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17008ABF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61504" w14:paraId="1378231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A9C0691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1504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1EB4A705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61504" w14:paraId="5E15780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2E6ECA5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6150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0112DC3" w14:textId="77777777" w:rsidR="000F7FEF" w:rsidRPr="0086150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1504">
              <w:rPr>
                <w:rFonts w:ascii="Arial" w:hAnsi="Arial" w:cs="Arial"/>
                <w:sz w:val="18"/>
              </w:rPr>
              <w:t>Бюджет доходов и расходов (БДР) отображает получение чистого денежного потока (управление ликвидностью). Средство планирования и сбора фактической информации о доходах и расходах организации.</w:t>
            </w:r>
          </w:p>
        </w:tc>
      </w:tr>
    </w:tbl>
    <w:p w14:paraId="78AB259E" w14:textId="77777777" w:rsidR="00DE2737" w:rsidRPr="00861504" w:rsidRDefault="00DE2737">
      <w:pPr>
        <w:rPr>
          <w:rFonts w:ascii="Arial" w:hAnsi="Arial" w:cs="Arial"/>
          <w:sz w:val="20"/>
          <w:szCs w:val="20"/>
        </w:rPr>
      </w:pPr>
    </w:p>
    <w:sectPr w:rsidR="00DE2737" w:rsidRPr="0086150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aa6d3c0-286f-4aa7-902d-d31149ed56f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Р 7. Расходы по прочей деятельност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61504"/>
    <w:rsid w:val="00882CAE"/>
    <w:rsid w:val="008E576A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5DEE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БДР 7. Расходы по прочей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