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F20" w14:textId="2F46C3E6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9C210E">
        <w:fldChar w:fldCharType="separate"/>
      </w:r>
      <w:r w:rsidR="00D3311C">
        <w:t>Отчет о предпроектном обследовании сформирован</w:t>
      </w:r>
      <w:r>
        <w:fldChar w:fldCharType="end"/>
      </w:r>
    </w:p>
    <w:p w14:paraId="41F745D7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463F336E" w14:textId="77777777" w:rsidR="00EA39C6" w:rsidRPr="00EA39C6" w:rsidRDefault="00EA39C6" w:rsidP="00EA39C6">
      <w:pPr>
        <w:ind w:left="0"/>
        <w:jc w:val="center"/>
      </w:pPr>
    </w:p>
    <w:p w14:paraId="01A4D323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2B44A6D4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6B78" w14:textId="77777777" w:rsidR="00D3311C" w:rsidRDefault="00D3311C" w:rsidP="00A263A4">
      <w:pPr>
        <w:spacing w:after="0"/>
      </w:pPr>
      <w:r>
        <w:separator/>
      </w:r>
    </w:p>
  </w:endnote>
  <w:endnote w:type="continuationSeparator" w:id="0">
    <w:p w14:paraId="49CB7BA2" w14:textId="77777777" w:rsidR="00D3311C" w:rsidRDefault="00D3311C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769AF4BA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9DFD3B3" w14:textId="3AB2495D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9C210E">
            <w:rPr>
              <w:lang w:val="ru-RU" w:eastAsia="ru-RU"/>
            </w:rPr>
            <w:fldChar w:fldCharType="separate"/>
          </w:r>
          <w:r w:rsidR="00D3311C">
            <w:rPr>
              <w:lang w:val="ru-RU" w:eastAsia="ru-RU"/>
            </w:rPr>
            <w:t>Отчет о предпроектном обследовании сформирован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D3311C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C9464E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31AB6DF8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E6F1" w14:textId="77777777" w:rsidR="00D3311C" w:rsidRDefault="00D3311C" w:rsidP="00A263A4">
      <w:pPr>
        <w:spacing w:after="0"/>
      </w:pPr>
      <w:r>
        <w:separator/>
      </w:r>
    </w:p>
  </w:footnote>
  <w:footnote w:type="continuationSeparator" w:id="0">
    <w:p w14:paraId="2F8FC29C" w14:textId="77777777" w:rsidR="00D3311C" w:rsidRDefault="00D3311C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9FB8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4be51124-b9fc-4628-83eb-c76f2952af1f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Отчет о предпроектном обследовании сформирова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C210E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3311C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BCF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предпроектном обследовании сформирован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