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42DA" w14:textId="77777777" w:rsidR="00BF2EE3" w:rsidRPr="0047428A" w:rsidRDefault="00FF5621">
      <w:pPr>
        <w:rPr>
          <w:rFonts w:ascii="Arial" w:hAnsi="Arial" w:cs="Arial"/>
          <w:b/>
          <w:sz w:val="22"/>
          <w:szCs w:val="22"/>
        </w:rPr>
      </w:pPr>
      <w:r w:rsidRPr="0047428A">
        <w:rPr>
          <w:rFonts w:ascii="Arial" w:hAnsi="Arial" w:cs="Arial"/>
          <w:b/>
          <w:sz w:val="22"/>
          <w:szCs w:val="22"/>
        </w:rPr>
        <w:fldChar w:fldCharType="begin"/>
      </w:r>
      <w:r w:rsidR="00E37CEE" w:rsidRPr="0047428A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5B7059" w:rsidRPr="0047428A">
        <w:rPr>
          <w:rFonts w:ascii="Arial" w:hAnsi="Arial" w:cs="Arial"/>
          <w:b/>
          <w:sz w:val="22"/>
          <w:szCs w:val="22"/>
        </w:rPr>
        <w:fldChar w:fldCharType="separate"/>
      </w:r>
      <w:r w:rsidR="005B7059" w:rsidRPr="0047428A">
        <w:rPr>
          <w:rFonts w:ascii="Arial" w:hAnsi="Arial" w:cs="Arial"/>
          <w:b/>
          <w:sz w:val="22"/>
          <w:szCs w:val="22"/>
        </w:rPr>
        <w:t>Внутренние бизнес-процессы</w:t>
      </w:r>
      <w:r w:rsidRPr="0047428A">
        <w:rPr>
          <w:rFonts w:ascii="Arial" w:hAnsi="Arial" w:cs="Arial"/>
          <w:b/>
          <w:sz w:val="22"/>
          <w:szCs w:val="22"/>
        </w:rPr>
        <w:fldChar w:fldCharType="end"/>
      </w:r>
    </w:p>
    <w:p w14:paraId="6FDBA326" w14:textId="77777777" w:rsidR="00BF2EE3" w:rsidRPr="0047428A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47428A" w14:paraId="45190A4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80ECFAE" w14:textId="77777777" w:rsidR="000F7FEF" w:rsidRPr="0047428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7428A">
              <w:rPr>
                <w:rFonts w:ascii="Arial" w:hAnsi="Arial" w:cs="Arial"/>
                <w:b/>
                <w:sz w:val="18"/>
              </w:rPr>
              <w:t>№ п/п</w:t>
            </w:r>
          </w:p>
        </w:tc>
        <w:tc>
          <w:tcPr>
            <w:tcW w:w="5760" w:type="dxa"/>
          </w:tcPr>
          <w:p w14:paraId="4B422F2F" w14:textId="77777777" w:rsidR="000F7FEF" w:rsidRPr="0047428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428A">
              <w:rPr>
                <w:rFonts w:ascii="Arial" w:hAnsi="Arial" w:cs="Arial"/>
                <w:sz w:val="18"/>
              </w:rPr>
              <w:t>3</w:t>
            </w:r>
          </w:p>
        </w:tc>
      </w:tr>
      <w:tr w:rsidR="000F7FEF" w:rsidRPr="0047428A" w14:paraId="273FA50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CABDDFE" w14:textId="77777777" w:rsidR="000F7FEF" w:rsidRPr="0047428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7428A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8704CD1" w14:textId="77777777" w:rsidR="000F7FEF" w:rsidRPr="0047428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428A">
              <w:rPr>
                <w:rFonts w:ascii="Arial" w:hAnsi="Arial" w:cs="Arial"/>
                <w:sz w:val="18"/>
              </w:rPr>
              <w:t>Внутренние бизнес-процессы</w:t>
            </w:r>
          </w:p>
        </w:tc>
      </w:tr>
      <w:tr w:rsidR="000F7FEF" w:rsidRPr="0047428A" w14:paraId="4AB7E45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FA9B7E2" w14:textId="77777777" w:rsidR="000F7FEF" w:rsidRPr="0047428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7428A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3D002C7F" w14:textId="77777777" w:rsidR="000F7FEF" w:rsidRPr="0047428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7428A" w14:paraId="369482B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BBFE681" w14:textId="77777777" w:rsidR="000F7FEF" w:rsidRPr="0047428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47428A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BFA90DE" w14:textId="77777777" w:rsidR="000F7FEF" w:rsidRPr="0047428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67A029" w14:textId="77777777" w:rsidR="00DE2737" w:rsidRPr="0047428A" w:rsidRDefault="00DE2737">
      <w:pPr>
        <w:rPr>
          <w:rFonts w:ascii="Arial" w:hAnsi="Arial" w:cs="Arial"/>
          <w:sz w:val="20"/>
          <w:szCs w:val="20"/>
        </w:rPr>
      </w:pPr>
    </w:p>
    <w:sectPr w:rsidR="00DE2737" w:rsidRPr="0047428A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85dd7944-b393-4c32-8f88-ed8caf9a8b9f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Внутренние бизнес-процесс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7428A"/>
    <w:rsid w:val="004E7CD7"/>
    <w:rsid w:val="00524B10"/>
    <w:rsid w:val="00564848"/>
    <w:rsid w:val="005844EC"/>
    <w:rsid w:val="005B7059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8A2DD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Внутренние бизнес-процессы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