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3059" w14:textId="77777777" w:rsidR="00BF2EE3" w:rsidRPr="006166B6" w:rsidRDefault="00FF5621">
      <w:pPr>
        <w:rPr>
          <w:rFonts w:ascii="Arial" w:hAnsi="Arial" w:cs="Arial"/>
          <w:b/>
          <w:sz w:val="22"/>
          <w:szCs w:val="22"/>
        </w:rPr>
      </w:pPr>
      <w:r w:rsidRPr="006166B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6166B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7153C" w:rsidRPr="006166B6">
        <w:rPr>
          <w:rFonts w:ascii="Arial" w:hAnsi="Arial" w:cs="Arial"/>
          <w:b/>
          <w:sz w:val="22"/>
          <w:szCs w:val="22"/>
        </w:rPr>
        <w:fldChar w:fldCharType="separate"/>
      </w:r>
      <w:r w:rsidR="00C7153C" w:rsidRPr="006166B6">
        <w:rPr>
          <w:rFonts w:ascii="Arial" w:hAnsi="Arial" w:cs="Arial"/>
          <w:b/>
          <w:sz w:val="22"/>
          <w:szCs w:val="22"/>
        </w:rPr>
        <w:t>ББЛ 2. Обязательства</w:t>
      </w:r>
      <w:r w:rsidRPr="006166B6">
        <w:rPr>
          <w:rFonts w:ascii="Arial" w:hAnsi="Arial" w:cs="Arial"/>
          <w:b/>
          <w:sz w:val="22"/>
          <w:szCs w:val="22"/>
        </w:rPr>
        <w:fldChar w:fldCharType="end"/>
      </w:r>
    </w:p>
    <w:p w14:paraId="269F8E7D" w14:textId="77777777" w:rsidR="00BF2EE3" w:rsidRPr="006166B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166B6" w14:paraId="5657CC9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22A282D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66B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6542D3A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66B6">
              <w:rPr>
                <w:rFonts w:ascii="Arial" w:hAnsi="Arial" w:cs="Arial"/>
                <w:sz w:val="18"/>
              </w:rPr>
              <w:t>ББЛ 2. Обязательства</w:t>
            </w:r>
          </w:p>
        </w:tc>
      </w:tr>
      <w:tr w:rsidR="000F7FEF" w:rsidRPr="006166B6" w14:paraId="7348481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513B8A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66B6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2465DFD2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66B6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6166B6" w14:paraId="30A7181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70286AA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66B6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76F503FE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166B6" w14:paraId="5A46EB3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554FFA8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66B6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78E091D1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166B6" w14:paraId="6610133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DB9C922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6166B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B6613BE" w14:textId="77777777" w:rsidR="000F7FEF" w:rsidRPr="006166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66B6">
              <w:rPr>
                <w:rFonts w:ascii="Arial" w:hAnsi="Arial" w:cs="Arial"/>
                <w:sz w:val="18"/>
              </w:rPr>
              <w:t>Бюджет по балансовому листу (ББЛ) отображает состав и структуру активов и пассивов компании (управление рентабельностью).</w:t>
            </w:r>
          </w:p>
        </w:tc>
      </w:tr>
    </w:tbl>
    <w:p w14:paraId="11BD67B1" w14:textId="77777777" w:rsidR="00DE2737" w:rsidRPr="006166B6" w:rsidRDefault="00DE2737">
      <w:pPr>
        <w:rPr>
          <w:rFonts w:ascii="Arial" w:hAnsi="Arial" w:cs="Arial"/>
          <w:sz w:val="20"/>
          <w:szCs w:val="20"/>
        </w:rPr>
      </w:pPr>
    </w:p>
    <w:sectPr w:rsidR="00DE2737" w:rsidRPr="006166B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819c801-4be5-44c7-a030-dc6f05d21c5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БЛ 2. Обязательств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166B6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153C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85C49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ББЛ 2. Обязательства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