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E2E2" w14:textId="77777777" w:rsidR="00BF2EE3" w:rsidRPr="00FE78C0" w:rsidRDefault="00FF5621">
      <w:pPr>
        <w:rPr>
          <w:rFonts w:ascii="Arial" w:hAnsi="Arial" w:cs="Arial"/>
          <w:b/>
          <w:sz w:val="22"/>
          <w:szCs w:val="22"/>
        </w:rPr>
      </w:pPr>
      <w:r w:rsidRPr="00FE78C0">
        <w:rPr>
          <w:rFonts w:ascii="Arial" w:hAnsi="Arial" w:cs="Arial"/>
          <w:b/>
          <w:sz w:val="22"/>
          <w:szCs w:val="22"/>
        </w:rPr>
        <w:fldChar w:fldCharType="begin"/>
      </w:r>
      <w:r w:rsidR="00E37CEE" w:rsidRPr="00FE78C0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3F2593" w:rsidRPr="00FE78C0">
        <w:rPr>
          <w:rFonts w:ascii="Arial" w:hAnsi="Arial" w:cs="Arial"/>
          <w:b/>
          <w:sz w:val="22"/>
          <w:szCs w:val="22"/>
        </w:rPr>
        <w:fldChar w:fldCharType="separate"/>
      </w:r>
      <w:r w:rsidR="003F2593" w:rsidRPr="00FE78C0">
        <w:rPr>
          <w:rFonts w:ascii="Arial" w:hAnsi="Arial" w:cs="Arial"/>
          <w:b/>
          <w:sz w:val="22"/>
          <w:szCs w:val="22"/>
        </w:rPr>
        <w:t>Бюджет расчетов по заработной плате</w:t>
      </w:r>
      <w:r w:rsidRPr="00FE78C0">
        <w:rPr>
          <w:rFonts w:ascii="Arial" w:hAnsi="Arial" w:cs="Arial"/>
          <w:b/>
          <w:sz w:val="22"/>
          <w:szCs w:val="22"/>
        </w:rPr>
        <w:fldChar w:fldCharType="end"/>
      </w:r>
    </w:p>
    <w:p w14:paraId="39C8BB9D" w14:textId="77777777" w:rsidR="00BF2EE3" w:rsidRPr="00FE78C0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FE78C0" w14:paraId="59EB40E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4D242C3" w14:textId="77777777" w:rsidR="000F7FEF" w:rsidRPr="00FE78C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78C0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71580CAD" w14:textId="77777777" w:rsidR="000F7FEF" w:rsidRPr="00FE78C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78C0">
              <w:rPr>
                <w:rFonts w:ascii="Arial" w:hAnsi="Arial" w:cs="Arial"/>
                <w:sz w:val="18"/>
              </w:rPr>
              <w:t>Бюджет расчетов по заработной плате</w:t>
            </w:r>
          </w:p>
        </w:tc>
      </w:tr>
      <w:tr w:rsidR="000F7FEF" w:rsidRPr="00FE78C0" w14:paraId="2F9D7E8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124F7A4" w14:textId="77777777" w:rsidR="000F7FEF" w:rsidRPr="00FE78C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78C0">
              <w:rPr>
                <w:rFonts w:ascii="Arial" w:hAnsi="Arial" w:cs="Arial"/>
                <w:b/>
                <w:sz w:val="18"/>
              </w:rPr>
              <w:t>Тип бюджета</w:t>
            </w:r>
          </w:p>
        </w:tc>
        <w:tc>
          <w:tcPr>
            <w:tcW w:w="5760" w:type="dxa"/>
          </w:tcPr>
          <w:p w14:paraId="723D2ABD" w14:textId="77777777" w:rsidR="000F7FEF" w:rsidRPr="00FE78C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78C0">
              <w:rPr>
                <w:rFonts w:ascii="Arial" w:hAnsi="Arial" w:cs="Arial"/>
                <w:sz w:val="18"/>
              </w:rPr>
              <w:t>Функциональный</w:t>
            </w:r>
          </w:p>
        </w:tc>
      </w:tr>
      <w:tr w:rsidR="000F7FEF" w:rsidRPr="00FE78C0" w14:paraId="0625D96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80C1A92" w14:textId="77777777" w:rsidR="000F7FEF" w:rsidRPr="00FE78C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78C0">
              <w:rPr>
                <w:rFonts w:ascii="Arial" w:hAnsi="Arial" w:cs="Arial"/>
                <w:b/>
                <w:sz w:val="18"/>
              </w:rPr>
              <w:t>Единица измерения бюджета</w:t>
            </w:r>
          </w:p>
        </w:tc>
        <w:tc>
          <w:tcPr>
            <w:tcW w:w="5760" w:type="dxa"/>
          </w:tcPr>
          <w:p w14:paraId="136433D9" w14:textId="77777777" w:rsidR="000F7FEF" w:rsidRPr="00FE78C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E78C0" w14:paraId="5039B6C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5115E5D" w14:textId="77777777" w:rsidR="000F7FEF" w:rsidRPr="00FE78C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78C0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5760" w:type="dxa"/>
          </w:tcPr>
          <w:p w14:paraId="365E06DA" w14:textId="77777777" w:rsidR="000F7FEF" w:rsidRPr="00FE78C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E78C0" w14:paraId="1C7F6CE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125EB79" w14:textId="77777777" w:rsidR="000F7FEF" w:rsidRPr="00FE78C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FE78C0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36C77279" w14:textId="77777777" w:rsidR="000F7FEF" w:rsidRPr="00FE78C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82287E" w14:textId="77777777" w:rsidR="00DE2737" w:rsidRPr="00FE78C0" w:rsidRDefault="00DE2737">
      <w:pPr>
        <w:rPr>
          <w:rFonts w:ascii="Arial" w:hAnsi="Arial" w:cs="Arial"/>
          <w:sz w:val="20"/>
          <w:szCs w:val="20"/>
        </w:rPr>
      </w:pPr>
    </w:p>
    <w:p w14:paraId="1F5861A9" w14:textId="77777777" w:rsidR="00EC060D" w:rsidRPr="00FE78C0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FE78C0">
        <w:rPr>
          <w:rFonts w:ascii="Arial" w:hAnsi="Arial" w:cs="Arial"/>
          <w:b/>
          <w:sz w:val="20"/>
          <w:szCs w:val="20"/>
        </w:rPr>
        <w:t>Связи с объектами</w:t>
      </w:r>
    </w:p>
    <w:p w14:paraId="1CA75BDA" w14:textId="77777777" w:rsidR="00CE0EC7" w:rsidRPr="00FE78C0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367"/>
        <w:gridCol w:w="6902"/>
      </w:tblGrid>
      <w:tr w:rsidR="00EC060D" w:rsidRPr="00FE78C0" w14:paraId="16A907D8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5B7B6A4C" w14:textId="77777777" w:rsidR="00EC060D" w:rsidRPr="00FE78C0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78C0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28A9D6FA" w14:textId="77777777" w:rsidR="00EC060D" w:rsidRPr="00FE78C0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FE78C0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FE78C0" w14:paraId="30190A9A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6D9EA6D5" w14:textId="77777777" w:rsidR="00CE0EC7" w:rsidRPr="00FE78C0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78C0">
              <w:rPr>
                <w:rFonts w:ascii="Arial" w:hAnsi="Arial" w:cs="Arial"/>
                <w:sz w:val="18"/>
              </w:rPr>
              <w:t>БДДС 2.1.2. Заработная плата</w:t>
            </w:r>
          </w:p>
        </w:tc>
        <w:tc>
          <w:tcPr>
            <w:tcW w:w="0" w:type="pct"/>
            <w:shd w:val="clear" w:color="auto" w:fill="auto"/>
          </w:tcPr>
          <w:p w14:paraId="7A733083" w14:textId="77777777" w:rsidR="00CE0EC7" w:rsidRPr="00FE78C0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78C0">
              <w:rPr>
                <w:rFonts w:ascii="Arial" w:hAnsi="Arial" w:cs="Arial"/>
                <w:sz w:val="18"/>
              </w:rPr>
              <w:t>Бюджетная структура</w:t>
            </w:r>
          </w:p>
        </w:tc>
      </w:tr>
      <w:tr w:rsidR="00CE0EC7" w:rsidRPr="00FE78C0" w14:paraId="3C8A82FE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4BB876E8" w14:textId="77777777" w:rsidR="00CE0EC7" w:rsidRPr="00FE78C0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78C0">
              <w:rPr>
                <w:rFonts w:ascii="Arial" w:hAnsi="Arial" w:cs="Arial"/>
                <w:sz w:val="18"/>
              </w:rPr>
              <w:t>A7 Финансирование деятельности и расчеты</w:t>
            </w:r>
          </w:p>
        </w:tc>
        <w:tc>
          <w:tcPr>
            <w:tcW w:w="0" w:type="pct"/>
            <w:shd w:val="clear" w:color="auto" w:fill="auto"/>
          </w:tcPr>
          <w:p w14:paraId="7EB68EA0" w14:textId="77777777" w:rsidR="00CE0EC7" w:rsidRPr="00FE78C0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78C0">
              <w:rPr>
                <w:rFonts w:ascii="Arial" w:hAnsi="Arial" w:cs="Arial"/>
                <w:sz w:val="18"/>
              </w:rPr>
              <w:t>IDEF0</w:t>
            </w:r>
          </w:p>
        </w:tc>
      </w:tr>
    </w:tbl>
    <w:p w14:paraId="28D00F49" w14:textId="77777777" w:rsidR="00DE2737" w:rsidRPr="00FE78C0" w:rsidRDefault="00EC060D">
      <w:pPr>
        <w:rPr>
          <w:rFonts w:ascii="Arial" w:hAnsi="Arial" w:cs="Arial"/>
          <w:b/>
          <w:sz w:val="20"/>
          <w:szCs w:val="20"/>
        </w:rPr>
      </w:pPr>
      <w:r w:rsidRPr="00FE78C0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FE78C0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4b3c4dd6-0f5b-46e0-ab39-1c66b6ffaa5b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Бюджет расчетов по заработной плате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2593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E78C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6530A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Бюджет расчетов по заработной плате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